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40-НҚ от 26.05.2025</w:t>
      </w:r>
    </w:p>
    <w:p w:rsidR="006814F7" w:rsidRPr="00CA45D6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</w:t>
      </w: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е </w:t>
      </w:r>
    </w:p>
    <w:p w:rsidR="006814F7" w:rsidRPr="00CA45D6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приказу Председателя</w:t>
      </w:r>
    </w:p>
    <w:p w:rsidR="006814F7" w:rsidRPr="00CA45D6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Комитета технического</w:t>
      </w:r>
    </w:p>
    <w:p w:rsidR="006814F7" w:rsidRPr="00CA45D6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регулирования и метрологии </w:t>
      </w:r>
    </w:p>
    <w:p w:rsidR="006814F7" w:rsidRPr="00CA45D6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Министерства торговли и интеграции Республики Казахстан  </w:t>
      </w:r>
    </w:p>
    <w:p w:rsidR="006814F7" w:rsidRPr="00A61BCE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1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«___» ________ 20__ года </w:t>
      </w:r>
    </w:p>
    <w:p w:rsidR="006814F7" w:rsidRPr="00A61BCE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A61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_______</w:t>
      </w:r>
    </w:p>
    <w:p w:rsidR="006814F7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5C5DB0" w:rsidRDefault="005C5DB0" w:rsidP="005C5DB0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5C5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Межгосударственные стандарты, предлагаемые для введения в действие на территории Республики Казахстан, в качестве национальных стандартов</w:t>
      </w:r>
    </w:p>
    <w:p w:rsidR="005C5DB0" w:rsidRPr="005C5DB0" w:rsidRDefault="005C5DB0" w:rsidP="005C5DB0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tbl>
      <w:tblPr>
        <w:tblStyle w:val="a3"/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3969"/>
        <w:gridCol w:w="2693"/>
        <w:gridCol w:w="1701"/>
      </w:tblGrid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3969" w:type="dxa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5E7EFA" w:rsidRPr="005E7EFA" w:rsidRDefault="005E7EFA" w:rsidP="00C74442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Информация о межгосударственном стандарте и о заменяемом стандарте и сроке переходного периода (при наличии)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Предлагаемая дата введения</w:t>
            </w:r>
          </w:p>
        </w:tc>
      </w:tr>
      <w:tr w:rsidR="005E7EFA" w:rsidRPr="005E7EFA" w:rsidTr="00C74442">
        <w:trPr>
          <w:trHeight w:val="493"/>
        </w:trPr>
        <w:tc>
          <w:tcPr>
            <w:tcW w:w="10490" w:type="dxa"/>
            <w:gridSpan w:val="5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 безопасности оборудования для работы во взрывоопасных средах» (ТР ТС 012/2011)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31610.29-4-2023 (IEC 60079-29-4:2009)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Взрывоопасные среды. Часть 29-4. Газоанализаторы. Общие технические требования и методы испытаний газоанализаторов горючих газов с открытым оптическим каналом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454"/>
        </w:trPr>
        <w:tc>
          <w:tcPr>
            <w:tcW w:w="10490" w:type="dxa"/>
            <w:gridSpan w:val="5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/>
                <w:sz w:val="24"/>
                <w:szCs w:val="24"/>
              </w:rPr>
              <w:t>«Электромагнитная совместимость технических средств» (ТР ТС 020/2011)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ГОСТ IEC 61000-4-9-2022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Электромагнитная совместимость (ЭМС). Часть 4-9. Методы испытаний и измерений. Испытание на устойчивость к импульсному магнитному полю</w:t>
            </w:r>
          </w:p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ГОСТ IEC 61000-4-9-2013 до исключения из перечня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61000-4-10-2022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Электромагнитная совместимость (ЭМС). Часть 4-10. Методы испытаний и измерений. Испытание на устойчивость к колебательному затухающему магнитному полю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ГОСТ IEC 61000-4-10-2014 до исключения из перечня.</w:t>
            </w:r>
          </w:p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Взамен СТ РК IEC 61000-4-10-2013,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61000-4-16-2023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Электромагнитная совместимость. Часть 4-16. Методы испытаний и измерений. Испытания на помехоустойчивость к кондуктивным помехам общего вида в диапазоне частот от 0 Гц до 150 кГц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ГОСТ IEC 61000-4-16-2014 до исключения из перечня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61000-3-11-2022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Электромагнитная совместимость (ЭМС). Часть 3-11. Нормы. Ограничение изменений напряжения, колебаний напряжения и фликера в коммунальных низковольтных системах электроснабжения. Оборудование с номинальным током не более 75 А, которое подлежит условному соединению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ГОСТ 30804.3.11-2013 до исключения из перечня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CISPR 16-1-4-2023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требования к аппаратуре для измерения радиопомех и помехоустойчивости и методы измерений. Часть 1-4. Аппаратура для измерения радиопомех и помехоустойчивости. Антенны и испытательные площадки для измерений излучаемых помех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ГОСТ 30805.16.1.4-2013 (CISPR 16-1-4:2007) до исключения из перечня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EN 12016-2020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Электромагнитная совместимость. Стандарт на группу однородной продукции для лифтов, эскалаторов и пассажирских конвейеров. Помехоустойчивость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ГОСТ 32142-2013 до исключения из перечня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EN 12015-2020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Электромагнитная совместимость. Стандарт на группу однородной продукции для лифтов, эскалаторов и пассажирских конвейеров. Электромагнитная эмиссия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ГОСТ 32143-2013 до исключения из перечня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62040-2-2024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Совместимость технических средств электромагнитная. Системы бесперебойного питания. Требования и методы испытаний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ГОСТ 32133.2-2013 до исключения из перечня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61543-2022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Устройства защитного отключения, управляемые дифференциальным током (УЗО-Д), бытового и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аналогичного назначения. Электромагнитная совместимость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 переходным периодом для ГОСТ 31216-2003 до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исключения из перечня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61800-3-2022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силовых электрических приводов с регулируемой скоростью. Часть 3. Требования к электромагнитной совместимости и специальные методы испытаний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IEC 61800-3-2016 до исключения из перечня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ETSI EN 301 489-24-2022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Электромагнитная совместимость и спектр радиочастот. Стандарт по электромагнитной совместимости для радиооборудования и служб радиосвязи. Часть 24. Специальные условия для подвижного и портативного радиооборудования (UE) IMT-2000 CDMA с прямым расширением спектра (UTRA и E-UTRA) и вспомогательного оборудования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CISPR 25-2023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средства, суда и встроенные двигатели внутреннего сгорания. Характеристики радиопомех. Нормы и методы измерений для защиты бортовых приемников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60601-1-2-2024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Изделия медицинские электрические. Часть 1-2 Общие требования безопасности с учетом основных функциональных характеристик.  Дополнительный стандарт. Электромагнитные помехи.  Требования и испытания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ГОСТ 30324.1.2-2012 до исключения из перечня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ISO 7637-1-2023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 дорожный. Помехи кондуктивные, емкостные и индуктивные. Часть 1. Термины, определения и общие положения.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34695.21-1-2020 (IEC 61851-21-1:2017)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Система зарядки электрических транспортных средств проводная. Часть 21-1. Требования электромагнитной совместимости для проводного подключения бортового зарядного устройства к источнику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переменного/постоянного тока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34695.21-2-2020 (IEC 61851-21-2:2018)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зарядки электрических транспортных средств проводная. Часть 21-2. Требования для проводного соединения с источником питания переменного или постоянного тока.  Требования электромагнитной совместимости для внешних зарядных систем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ISO 7637-3-2023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 дорожный Помехи кондуктивные, емкостные и индуктивные Часть 3 Импульсные помехи в емкостных и индуктивных цепях (кроме цепей питания)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61000-4-19-2024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Электромагнитная совместимость. Часть 4-19. Методы испытаний и измерений. Испытание на устойчивость к кондуктивным помехам дифференциального вида и помехам при передаче сигналов в диапазоне частот от 2 до 150 кГц на портах электропитания переменного тока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61000-4-33-2024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Электромагнитная совместимость. Часть 4-33. Методы испытаний и измерений. Методы измерений переходных параметров высокой мощности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61000-4-21-2024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Электромагнитная совместимость. Часть 4-21. Методы испытаний и измерений. Методы испытаний в реверберационной камере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61000-6-7-2019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Электромагнитная совместимость (ЭМС). Часть 6-7. Общие стандарты. Требования помехоустойчивости для оборудования, предназначенного для выполнения функций в системе, связанной с безопасностью (функциональная безопасность) в промышленных расположениях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EN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16361-2022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Двери с механическим приводом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для пешеходов. Стандарт на продукцию, эксплуатационные характеристики. Дверные блоки, кроме поворотных, изначально спроектированные для установки с механическим приводом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EN 50561-1-2022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Аппаратура передачи информации по электрическим сетям, используемая в низковольтных установках. Характеристики радиопомех. Пределы и методы измерений. Часть 1.  Аппаратура для бытового использования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62026-2-2022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Аппаратура распределения и управления низковольтная. Интерфейсы между контроллерами и устройствами. Часть 2. Интерфейс исполнительных устройств и датчиков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62026-7-2023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Аппаратура распределения и управления низковольтная. Интерфейсы между контроллерами и устройствами. Часть 7. CompoNet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CISPR/TR 16-4-3-2022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условия на оборудование и методы измерений радиопомех и помехоустойчивости. Часть 4-3. Неопределенности, статистика и моделирование норм. Статистический анализ при определении электромагнитной совместимости для продукции массового производства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61000-4-21-2024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Электромагнитная совместимость. Часть 4-21. Методы испытаний и измерений. Методы испытаний в реверберационной камере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CISPR 17-2022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измерения характеристик подавления пассивных фильтрующих устройств для обеспечения электромагнитной совместимости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IEC/TR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61000-3-6-2020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Электромагнитная совместимость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(ЭМС). Часть 3-6. Нормы. Оценка норм электромагнитной эмиссии для подключения установок, создающих помехи, к системам электроснабжения среднего, высокого и сверхвысокого напряжения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IEC/TR 61000-3-7-2020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Электромагнитная совместимость (ЭМС). Часть 3-7. Нормы. Оценка норм электромагнитной эмиссии для подключения установок, создающих колебания напряжения, к системам электроснабжения среднего, высокого и сверхвысокого напряжения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10490" w:type="dxa"/>
            <w:gridSpan w:val="5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/>
                <w:sz w:val="24"/>
                <w:szCs w:val="24"/>
              </w:rPr>
              <w:t>«О безопасности железнодорожного подвижного состава» (ТР ТС 001/2011), «О безопасности высокоскоростного железнодорожного транспорта» (ТР ТС 002/2011) и «О безопасности инфраструктуры железнодорожного транспорта» (ТР ТС 003/2011)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33188-2024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Муфты тягового привода моторвагонного подвижного состава. Резинокордные оболочки. Общие технические условия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Взамен ГОСТ 33188-2014,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30630.0.1-2002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испытаний на стойкость к внешним воздействующим факторам машин,</w:t>
            </w:r>
          </w:p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приборов и других технических изделий. Комбинированные испытания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30630.2.2-2001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испытаний на стойкость к климатическим внешним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воздействующим факторам машин, приборов и других технических изделий. Испытания на воздействие влажност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23198-2021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света электрические. Методы измерений спектральных и цветовых характеристик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35025-2023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Продукция железнодорожного назначения. Инспекторский контроль. Требования к инспекторским центрам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10490" w:type="dxa"/>
            <w:gridSpan w:val="5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«О безопасности средств индивидуальной защиты» (ТР ТС </w:t>
            </w:r>
            <w:r w:rsidRPr="005E7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019</w:t>
            </w:r>
            <w:r w:rsidRPr="005E7EFA">
              <w:rPr>
                <w:rFonts w:ascii="Times New Roman" w:hAnsi="Times New Roman" w:cs="Times New Roman"/>
                <w:b/>
                <w:sz w:val="24"/>
                <w:szCs w:val="24"/>
              </w:rPr>
              <w:t>/2011)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35234-2024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Индивидуальные спасательные устройства, предназначенные для спасения неподготовленных людей с высоты по внешнему фасаду здания. Общие технические требования. Методы испытаний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373"/>
        </w:trPr>
        <w:tc>
          <w:tcPr>
            <w:tcW w:w="10490" w:type="dxa"/>
            <w:gridSpan w:val="5"/>
            <w:vAlign w:val="center"/>
          </w:tcPr>
          <w:p w:rsidR="005E7EFA" w:rsidRPr="005E7EFA" w:rsidRDefault="005E7EFA" w:rsidP="00C74442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/>
                <w:sz w:val="24"/>
                <w:szCs w:val="24"/>
              </w:rPr>
              <w:t>Межгосударственные стандарты не взаимосвязанные с ТР</w:t>
            </w:r>
          </w:p>
        </w:tc>
      </w:tr>
      <w:tr w:rsidR="005E7EFA" w:rsidRPr="005E7EFA" w:rsidTr="00C74442">
        <w:trPr>
          <w:trHeight w:val="285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34942-2023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Пресервы из разделанной сельди в заливке, соусе или масле. Технические условия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Взамен ГОСТ 7453-86 в части ассортимента пресервов из сельди, с установлением переходного периода до 1.06.2026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34125-2017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Фрукты и овощи сушеные. Правила приемки, отбор и подготовка проб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Взамен ГОСТ 1750-86 в части правил приемки, ГОСТ 13341-77, с установлением переходного периода до 1.06.2026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35040-2023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Чипсы из зернового сырья. Общие технические условия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35094-2024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Покрытия лакокрасочные. Группы, технические требования и обозначения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Взамен ГОСТ 9.032-74, с установлением переходного периода до 1.06.2026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8.417-2024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система обеспечения единства измерений. Единицы величин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Взамен ГОСТ 8.417-2002, с установлением переходного периода до 1.01.2026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Hlk17626632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16704-2017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Смолы фенолоформальдегидные. Методы определения содержания свободного формальдегида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Взамен ГОСТ 16704-71,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  <w:bookmarkEnd w:id="0"/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ISO 16472-2014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Корма для животных. Определение содержания нейтрально-детергентной клетчатки с применением амилазы (аНДК)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28460-2014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Комбикорма для дичи. Общие технические условия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Взамен ГОСТ 28460-90, с установлением переходного периода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 1.06.2026 г.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29113-2016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Корма, комбикорма, комбикормовое сырье. Методы определения массовой доли карбамида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Взамен ГОСТ 28460-90,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31640-2012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Корма. Методы определения содержания сухого вещества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ГОСТ 5060-2021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Ячмень пивоваренный. Технические условия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Взамен ГОСТ 5060-86,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34951–2023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Сталь. Определение и классификация по химическому составу и классам качества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ISO 9080-2023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Трубопроводы и воздуховоды из пластмасс. Определение длительной гидростатической прочности термопластов на образцах в форме труб методом экстраполяции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2.119-2013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Единая система конструкторской документации. Эскизный проект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Взамен ГОСТ 2.119-73,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12.4.008-2023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стандартов безопасности труда. Средства индивидуальной защиты. Методы определения ограничения поля зрения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Взамен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ГОСТ 12.4.008-84,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12.4.118-2023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стандартов безопасности труда. Средства индивидуальной защиты рук. Методы определения стойкости к проколу многоразовой медицинской иглой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12.4.118-82,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12.4.258-2023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Система стандартов безопасности труда. Одежда специальная для защиты от жидких химических веществ. Эксплуатационные требования к непроницаемой для жидкостей одежде (тип 3) и непроницаемой для аэрозолей одежде (тип 4), включая предметы одежды для защиты частей тела </w:t>
            </w: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[тип РВ (3) и тип РВ (4)]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Взамен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ГОСТ 12.4.258-2014, с установлением переходного периода до 1.06.2026 г..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21.502-2016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проектной документации для строительства. Правила выполнения рабочей документации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Взамен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ГОСТ 21.502-2007,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21.606-2016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проектной документации для строительства. Правила выполнения рабочей документации тепломеханических решений котельных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21.606-95,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21.704-2011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проектной документации для строительства. Правила выполнения рабочей документации наружных сетей водоснабжения и канализации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21.704-2011 Изм.№ 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проектной документации для строительства. Правила выполнения рабочей документации наружных сетей водоснабжения и канализации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ISO 11393-2-2023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стандартов безопасности труда. Средства индивидуальной защиты для работающих с ручными цепными пилами. Часть 2. Технические требования и методы испытаний защитных приспособлений для нижней части тела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Взамен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ГОСТ 12.4.257–2014 в части</w:t>
            </w:r>
          </w:p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защитных приспособлений ног.</w:t>
            </w: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7EF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Взамен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12.4.277–2014,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ISO 11393-6-2023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стандартов безопасности труда. Средства индивидуальной защиты для работающих с ручными цепными пилами. Часть 6. Технические требования и методы испытаний защитных приспособлений для верхней части тела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Взамен ГОСТ 12.4.277–2014,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19906-2023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Нитрит натрия технический. Технические условия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19906-74,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27893-</w:t>
            </w: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Кабели связи. Методы испытаний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31427-2020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Здания жилые и общественные. Состав показателей энергетической эффективности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31427-2010,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31937-2024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Здания и сооружения. Правила обследования и мониторинга технического состояния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31937-2011,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32274-2021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"Плиты древесно-волокнистые сухого способа производства. Технические условия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32274-2013,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32498-2020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Здания и сооружения. Методы определения показателей энергетической эффективности искусственного освещения помещений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32498-2013,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34935-2023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Освещение наружное объектов железнодорожного транспорта. Нормы и методы контроля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60034-1-2023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Машины электрические вращающиеся. Часть 1. Номинальные значения параметров и эксплуатационных характеристик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60034-1-2007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ГОСТ 25898-2020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Материалы и изделия строительные. Методы определения паропроницаемости и сопротивления паропроницанию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Взамен ГОСТ 25898-2012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ГОСТ 28575-2014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Защита от коррозии в строительстве. Конструкции бетонные и железобетонные. Испытания паропроницаемости защитных покрытий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28575-90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ГОСТ 23166-2024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Блоки оконные и балконные. Общие технические условия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Взамен ГОСТ 23166-2021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ГОСТ 27215-2013 Изм.№ 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Плиты перекрытий железобетонные ребристые высотой 400 мм для промышленных зданий и </w:t>
            </w:r>
            <w:r w:rsidRPr="005E7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сооружений. Технические условия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ГОСТ ISO 9727-8-2024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Пробки корковые цилиндрические. Методы определения физических свойств. Часть 8. Определение капиллярности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ГОСТ 12.1.044-2018 Изм. № 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Система стандартов безопасности труда. Пожаровзрывоопасность веществ и материалов. Номенклатура показателей и методы их определений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ГОСТ 5638-2018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Фольга медная рулонная для технических целей. Технические условия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Взамен ГОСТ 5638-75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ГОСТ 34180-2017 Изм.№ 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Прокат стальной тонколистовой холоднокатаный и холоднокатаный горячеоцинкованный с полимерным покрытием с непрерывных линий. Технические условия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ГОСТ ISO 18862-2019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Кофе и кофепродукты. Определение содержания акриламида. Методы высокоэффективной жидкостной хроматографии с тандемной масс-спектрометрией и хромато-массспектрометрией после дериватизации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  <w:bookmarkStart w:id="1" w:name="_GoBack"/>
            <w:bookmarkEnd w:id="1"/>
          </w:p>
        </w:tc>
      </w:tr>
    </w:tbl>
    <w:p w:rsidR="005C5DB0" w:rsidRPr="005C5DB0" w:rsidRDefault="005C5DB0" w:rsidP="005C5DB0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sectPr w:rsidR="005C5DB0" w:rsidRPr="005C5DB0" w:rsidSect="00B373E1">
      <w:headerReference w:type="default" r:id="rId8"/>
      <w:pgSz w:w="11906" w:h="16838"/>
      <w:pgMar w:top="1418" w:right="851" w:bottom="1418" w:left="1418" w:header="708" w:footer="708" w:gutter="0"/>
      <w:pgNumType w:start="2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26.05.2025 16:37 Қазбек Нүрбек Даниярұлы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26.05.2025 16:39 Кабылбеков Канат Абаевич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26.05.2025 16:56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1C4" w:rsidRDefault="00E131C4" w:rsidP="00B373E1">
      <w:pPr>
        <w:spacing w:after="0" w:line="240" w:lineRule="auto"/>
      </w:pPr>
      <w:r>
        <w:separator/>
      </w:r>
    </w:p>
  </w:endnote>
  <w:endnote w:type="continuationSeparator" w:id="0">
    <w:p w:rsidR="00E131C4" w:rsidRDefault="00E131C4" w:rsidP="00B37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26.05.2025 17:21.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1C4" w:rsidRDefault="00E131C4" w:rsidP="00B373E1">
      <w:pPr>
        <w:spacing w:after="0" w:line="240" w:lineRule="auto"/>
      </w:pPr>
      <w:r>
        <w:separator/>
      </w:r>
    </w:p>
  </w:footnote>
  <w:footnote w:type="continuationSeparator" w:id="0">
    <w:p w:rsidR="00E131C4" w:rsidRDefault="00E131C4" w:rsidP="00B37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7986625"/>
      <w:docPartObj>
        <w:docPartGallery w:val="Page Numbers (Top of Page)"/>
        <w:docPartUnique/>
      </w:docPartObj>
    </w:sdtPr>
    <w:sdtEndPr/>
    <w:sdtContent>
      <w:p w:rsidR="00B373E1" w:rsidRDefault="00B373E1">
        <w:pPr>
          <w:pStyle w:val="a4"/>
          <w:jc w:val="center"/>
        </w:pPr>
        <w:r w:rsidRPr="00B373E1">
          <w:rPr>
            <w:rFonts w:ascii="Times New Roman" w:hAnsi="Times New Roman" w:cs="Times New Roman"/>
            <w:sz w:val="24"/>
          </w:rPr>
          <w:fldChar w:fldCharType="begin"/>
        </w:r>
        <w:r w:rsidRPr="00B373E1">
          <w:rPr>
            <w:rFonts w:ascii="Times New Roman" w:hAnsi="Times New Roman" w:cs="Times New Roman"/>
            <w:sz w:val="24"/>
          </w:rPr>
          <w:instrText>PAGE   \* MERGEFORMAT</w:instrText>
        </w:r>
        <w:r w:rsidRPr="00B373E1">
          <w:rPr>
            <w:rFonts w:ascii="Times New Roman" w:hAnsi="Times New Roman" w:cs="Times New Roman"/>
            <w:sz w:val="24"/>
          </w:rPr>
          <w:fldChar w:fldCharType="separate"/>
        </w:r>
        <w:r w:rsidR="005E7EFA">
          <w:rPr>
            <w:rFonts w:ascii="Times New Roman" w:hAnsi="Times New Roman" w:cs="Times New Roman"/>
            <w:noProof/>
            <w:sz w:val="24"/>
          </w:rPr>
          <w:t>3</w:t>
        </w:r>
        <w:r w:rsidRPr="00B373E1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B373E1" w:rsidRDefault="00B373E1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25CE8"/>
    <w:multiLevelType w:val="hybridMultilevel"/>
    <w:tmpl w:val="29A65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F6C"/>
    <w:rsid w:val="001917CD"/>
    <w:rsid w:val="00216F6C"/>
    <w:rsid w:val="002C3CE7"/>
    <w:rsid w:val="002C7B45"/>
    <w:rsid w:val="003803CC"/>
    <w:rsid w:val="00526D8A"/>
    <w:rsid w:val="005C5DB0"/>
    <w:rsid w:val="005E7EFA"/>
    <w:rsid w:val="00625709"/>
    <w:rsid w:val="006814F7"/>
    <w:rsid w:val="0071615C"/>
    <w:rsid w:val="00831A19"/>
    <w:rsid w:val="009911D1"/>
    <w:rsid w:val="00A323DE"/>
    <w:rsid w:val="00A61BCE"/>
    <w:rsid w:val="00AC6BBB"/>
    <w:rsid w:val="00B373E1"/>
    <w:rsid w:val="00E131C4"/>
    <w:rsid w:val="00E7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F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14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7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73E1"/>
  </w:style>
  <w:style w:type="paragraph" w:styleId="a6">
    <w:name w:val="footer"/>
    <w:basedOn w:val="a"/>
    <w:link w:val="a7"/>
    <w:uiPriority w:val="99"/>
    <w:unhideWhenUsed/>
    <w:rsid w:val="00B37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73E1"/>
  </w:style>
  <w:style w:type="paragraph" w:styleId="a8">
    <w:name w:val="List Paragraph"/>
    <w:basedOn w:val="a"/>
    <w:uiPriority w:val="34"/>
    <w:qFormat/>
    <w:rsid w:val="005C5DB0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F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14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7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73E1"/>
  </w:style>
  <w:style w:type="paragraph" w:styleId="a6">
    <w:name w:val="footer"/>
    <w:basedOn w:val="a"/>
    <w:link w:val="a7"/>
    <w:uiPriority w:val="99"/>
    <w:unhideWhenUsed/>
    <w:rsid w:val="00B37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73E1"/>
  </w:style>
  <w:style w:type="paragraph" w:styleId="a8">
    <w:name w:val="List Paragraph"/>
    <w:basedOn w:val="a"/>
    <w:uiPriority w:val="34"/>
    <w:qFormat/>
    <w:rsid w:val="005C5DB0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968" Type="http://schemas.openxmlformats.org/officeDocument/2006/relationships/image" Target="media/image968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2619</Words>
  <Characters>14930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Dias Abildayev</dc:creator>
  <cp:keywords/>
  <dc:description/>
  <cp:lastModifiedBy>Dias Abildayev</cp:lastModifiedBy>
  <cp:revision>11</cp:revision>
  <dcterms:created xsi:type="dcterms:W3CDTF">2025-02-24T11:25:00Z</dcterms:created>
  <dcterms:modified xsi:type="dcterms:W3CDTF">2025-05-26T04:43:00Z</dcterms:modified>
</cp:coreProperties>
</file>